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C157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附件1</w:t>
      </w:r>
    </w:p>
    <w:p w14:paraId="4609E4B0">
      <w:pPr>
        <w:keepNext w:val="0"/>
        <w:keepLines w:val="0"/>
        <w:pageBreakBefore w:val="0"/>
        <w:widowControl w:val="0"/>
        <w:kinsoku/>
        <w:wordWrap/>
        <w:overflowPunct/>
        <w:topLinePunct w:val="0"/>
        <w:autoSpaceDE/>
        <w:autoSpaceDN/>
        <w:bidi w:val="0"/>
        <w:adjustRightInd/>
        <w:snapToGrid/>
        <w:spacing w:line="600" w:lineRule="exact"/>
        <w:ind w:left="0"/>
        <w:jc w:val="center"/>
        <w:rPr>
          <w:rFonts w:hint="eastAsia" w:ascii="宋体" w:hAnsi="宋体" w:eastAsia="宋体" w:cs="宋体"/>
          <w:b/>
          <w:bCs/>
          <w:color w:val="auto"/>
          <w:sz w:val="44"/>
          <w:szCs w:val="44"/>
          <w:lang w:val="en-US" w:eastAsia="zh-CN"/>
        </w:rPr>
      </w:pPr>
      <w:bookmarkStart w:id="0" w:name="OLE_LINK4"/>
    </w:p>
    <w:bookmarkEnd w:id="0"/>
    <w:p w14:paraId="76B8318A">
      <w:pPr>
        <w:keepNext w:val="0"/>
        <w:keepLines w:val="0"/>
        <w:pageBreakBefore w:val="0"/>
        <w:widowControl w:val="0"/>
        <w:kinsoku/>
        <w:wordWrap/>
        <w:overflowPunct/>
        <w:topLinePunct w:val="0"/>
        <w:autoSpaceDE/>
        <w:autoSpaceDN/>
        <w:bidi w:val="0"/>
        <w:adjustRightInd/>
        <w:snapToGrid/>
        <w:spacing w:line="600" w:lineRule="exact"/>
        <w:ind w:left="0"/>
        <w:jc w:val="center"/>
        <w:rPr>
          <w:rFonts w:hint="eastAsia" w:ascii="宋体" w:hAnsi="宋体" w:eastAsia="宋体" w:cs="宋体"/>
          <w:b/>
          <w:bCs/>
          <w:color w:val="auto"/>
          <w:sz w:val="44"/>
          <w:szCs w:val="44"/>
          <w:lang w:val="en-US" w:eastAsia="zh-CN"/>
        </w:rPr>
      </w:pPr>
      <w:bookmarkStart w:id="1" w:name="OLE_LINK13"/>
      <w:r>
        <w:rPr>
          <w:rFonts w:hint="eastAsia" w:ascii="宋体" w:hAnsi="宋体" w:eastAsia="宋体" w:cs="宋体"/>
          <w:b/>
          <w:bCs/>
          <w:color w:val="auto"/>
          <w:sz w:val="44"/>
          <w:szCs w:val="44"/>
          <w:lang w:val="en-US" w:eastAsia="zh-CN"/>
        </w:rPr>
        <w:t>高新创投（石家庄）私募基金管理有限公司</w:t>
      </w:r>
    </w:p>
    <w:p w14:paraId="5297D234">
      <w:pPr>
        <w:keepNext w:val="0"/>
        <w:keepLines w:val="0"/>
        <w:pageBreakBefore w:val="0"/>
        <w:widowControl w:val="0"/>
        <w:kinsoku/>
        <w:wordWrap/>
        <w:overflowPunct/>
        <w:topLinePunct w:val="0"/>
        <w:autoSpaceDE/>
        <w:autoSpaceDN/>
        <w:bidi w:val="0"/>
        <w:adjustRightInd/>
        <w:snapToGrid/>
        <w:spacing w:line="600" w:lineRule="exact"/>
        <w:ind w:left="0"/>
        <w:jc w:val="center"/>
        <w:rPr>
          <w:rFonts w:hint="eastAsia" w:ascii="仿宋_GB2312" w:hAnsi="仿宋_GB2312" w:eastAsia="仿宋_GB2312" w:cs="仿宋_GB2312"/>
          <w:color w:val="auto"/>
          <w:sz w:val="32"/>
          <w:szCs w:val="32"/>
          <w:lang w:val="en-US" w:eastAsia="zh-CN"/>
        </w:rPr>
      </w:pPr>
      <w:r>
        <w:rPr>
          <w:rFonts w:hint="eastAsia" w:ascii="宋体" w:hAnsi="宋体" w:eastAsia="宋体" w:cs="宋体"/>
          <w:b/>
          <w:bCs/>
          <w:color w:val="auto"/>
          <w:sz w:val="44"/>
          <w:szCs w:val="44"/>
          <w:lang w:val="en-US" w:eastAsia="zh-CN"/>
        </w:rPr>
        <w:t>招聘简章</w:t>
      </w:r>
    </w:p>
    <w:p w14:paraId="2F2C95C8">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rPr>
          <w:rFonts w:hint="eastAsia" w:ascii="黑体" w:hAnsi="黑体" w:eastAsia="黑体" w:cs="黑体"/>
          <w:color w:val="auto"/>
          <w:kern w:val="2"/>
          <w:sz w:val="32"/>
          <w:szCs w:val="32"/>
          <w:lang w:val="en-US" w:eastAsia="zh-CN" w:bidi="ar-SA"/>
        </w:rPr>
      </w:pPr>
    </w:p>
    <w:p w14:paraId="6408373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一、公司简介</w:t>
      </w:r>
    </w:p>
    <w:p w14:paraId="5DD6C0C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为落实“城投”向“产投”转型战略，石家庄市高新区拟成立高新创投（石家庄）私募基金管理有限公司（以下简称“基金管理公司”），由区财政局直接出资，是高新区区属全资一级国有企业。公司通过“募、投、管、退”四个关键阶段的全周期管理体系，利用政府信用背书，构建由财政资金、国有资本以及社会资本共同参与的多元化出资结构，通过政策导向与市场化决策并行的双重机制，聚焦生物医药、电子信息、新材料三大主导产业，致力于推动产业转型升级、完善产业链条，助力产业发展。</w:t>
      </w:r>
    </w:p>
    <w:p w14:paraId="19F3262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基金管理公司作为区属唯一国有私募基金管理平台，是高新区实现市场化产业投资的重要抓手，采用市场化运营管理机制，设置同行业有竞争力的薪酬体系，薪资结构包括基础薪酬、业绩考核、募资奖励、超额收益分配、员工跟投、保险福利等。根据公司发展需求，现面向社会招引吸纳优秀的职业经理人和专业性投资人才，打造素质高、能力强的精英业务团队。</w:t>
      </w:r>
    </w:p>
    <w:p w14:paraId="23E75DC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二、岗位招聘计划</w:t>
      </w:r>
    </w:p>
    <w:p w14:paraId="0F11A5E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1.总经理，拟招人数：1名。</w:t>
      </w:r>
    </w:p>
    <w:p w14:paraId="79321C3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2.投资总监，部门：投资管理部，拟招人数：2名。</w:t>
      </w:r>
    </w:p>
    <w:p w14:paraId="21FFF2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3.风控总监，部门：合规风控部，拟招人数：1名。</w:t>
      </w:r>
    </w:p>
    <w:p w14:paraId="1F7FB62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rPr>
          <w:rFonts w:hint="default" w:ascii="Calibri" w:hAnsi="Calibri" w:eastAsia="宋体" w:cs="Times New Roman"/>
          <w:color w:val="auto"/>
          <w:szCs w:val="24"/>
          <w:lang w:val="en-US" w:eastAsia="zh-CN"/>
        </w:rPr>
      </w:pPr>
      <w:r>
        <w:rPr>
          <w:rFonts w:hint="eastAsia" w:ascii="黑体" w:hAnsi="黑体" w:eastAsia="黑体" w:cs="黑体"/>
          <w:color w:val="auto"/>
          <w:kern w:val="2"/>
          <w:sz w:val="32"/>
          <w:szCs w:val="32"/>
          <w:lang w:val="en-US" w:eastAsia="zh-CN" w:bidi="ar-SA"/>
        </w:rPr>
        <w:t>三、用工形式</w:t>
      </w:r>
    </w:p>
    <w:p w14:paraId="0699102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以上招聘岗位用工形式均为劳动合同制。</w:t>
      </w:r>
    </w:p>
    <w:p w14:paraId="6B5A93E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四、岗位职责</w:t>
      </w:r>
      <w:r>
        <w:rPr>
          <w:rFonts w:hint="default" w:ascii="黑体" w:hAnsi="黑体" w:eastAsia="黑体" w:cs="黑体"/>
          <w:color w:val="auto"/>
          <w:kern w:val="2"/>
          <w:sz w:val="32"/>
          <w:szCs w:val="32"/>
          <w:lang w:val="en-US" w:eastAsia="zh-CN" w:bidi="ar-SA"/>
        </w:rPr>
        <w:t>及</w:t>
      </w:r>
      <w:r>
        <w:rPr>
          <w:rFonts w:hint="eastAsia" w:ascii="黑体" w:hAnsi="黑体" w:eastAsia="黑体" w:cs="黑体"/>
          <w:color w:val="auto"/>
          <w:kern w:val="2"/>
          <w:sz w:val="32"/>
          <w:szCs w:val="32"/>
          <w:lang w:val="en-US" w:eastAsia="zh-CN" w:bidi="ar-SA"/>
        </w:rPr>
        <w:t>任职</w:t>
      </w:r>
      <w:r>
        <w:rPr>
          <w:rFonts w:hint="default" w:ascii="黑体" w:hAnsi="黑体" w:eastAsia="黑体" w:cs="黑体"/>
          <w:color w:val="auto"/>
          <w:kern w:val="2"/>
          <w:sz w:val="32"/>
          <w:szCs w:val="32"/>
          <w:lang w:val="en-US" w:eastAsia="zh-CN" w:bidi="ar-SA"/>
        </w:rPr>
        <w:t>要求</w:t>
      </w:r>
    </w:p>
    <w:p w14:paraId="1CBD2B4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shd w:val="clear" w:color="auto" w:fill="FFFFFF"/>
          <w:lang w:val="en-US" w:eastAsia="zh-CN" w:bidi="ar-SA"/>
        </w:rPr>
        <w:t>（一）</w:t>
      </w:r>
      <w:r>
        <w:rPr>
          <w:rFonts w:hint="eastAsia" w:ascii="楷体" w:hAnsi="楷体" w:eastAsia="楷体" w:cs="楷体"/>
          <w:color w:val="auto"/>
          <w:kern w:val="2"/>
          <w:sz w:val="32"/>
          <w:szCs w:val="32"/>
          <w:lang w:val="en-US" w:eastAsia="zh-CN" w:bidi="ar-SA"/>
        </w:rPr>
        <w:t>总经理</w:t>
      </w:r>
    </w:p>
    <w:p w14:paraId="7EE5877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1.岗位职责</w:t>
      </w:r>
    </w:p>
    <w:p w14:paraId="16A3773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负责确立符合基金管理公司行业主管部门、上级主管部门管理要求的任务目标以及工作方向，并采取必要措施确保任务的完成；搭建公司管理框架，制定公司规章制度、管理规范；推动政府引导基金、产业投资基金的管理运作；按照公司经营目标制定年度经营计划，确保经营目标的达成等。</w:t>
      </w:r>
    </w:p>
    <w:p w14:paraId="585F550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2.任职要求</w:t>
      </w:r>
    </w:p>
    <w:p w14:paraId="4EADD60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（1）年龄45岁以下（1980年1月1日及以后出生）。</w:t>
      </w:r>
    </w:p>
    <w:p w14:paraId="0DA0BE3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（2）第一学历为重点高校（国家“双一流”建设高校或国（境）外知名院校（按照最新的泰晤士世界大学排名、QS世界大学排名、U.S.News世界大学排名、软科世界大学学术排名前1000名））全日制本科及以上学历。</w:t>
      </w:r>
    </w:p>
    <w:p w14:paraId="3A4A61C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熟悉产业投资基金相关运作规则以及管理要求，有较高的行业敏感度，较强的统筹规划能力、业务开拓能力、沟通协调能力、团队管理能力、判断决策能力和解决问题能力，具有广泛的行业投资资源、资金资源与人脉资源。</w:t>
      </w:r>
    </w:p>
    <w:p w14:paraId="1B1D37E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（4）从事股权投资5年以上，熟悉生物医药、电子信息或新材料行业投资的优先。</w:t>
      </w:r>
    </w:p>
    <w:p w14:paraId="58A04CA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（5）具有3年以上的相应管理级别（副总级及以上）岗位经验。</w:t>
      </w:r>
    </w:p>
    <w:p w14:paraId="1053CA4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（6）具有在国有企业从事投资业务或运营管理政府投资基金业务的相关工作经验。</w:t>
      </w:r>
    </w:p>
    <w:p w14:paraId="677CE7A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（7）具有基金从业资格证。</w:t>
      </w:r>
    </w:p>
    <w:p w14:paraId="3602098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shd w:val="clear" w:color="auto" w:fill="FFFFFF"/>
          <w:lang w:val="en-US" w:eastAsia="zh-CN" w:bidi="ar-SA"/>
        </w:rPr>
        <w:t>（二）投资总监</w:t>
      </w:r>
    </w:p>
    <w:p w14:paraId="6D9CA188">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1.岗位职责</w:t>
      </w:r>
    </w:p>
    <w:p w14:paraId="3FCE607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负责挖掘优质项目进行产业导入，推动合作落地；行业研究；募投管退全过程管理，分解落实公司募资、投资、投后管理及其他工作，并组织完成；制定并持续优化公司资金募集和投资业务流程等。</w:t>
      </w:r>
    </w:p>
    <w:p w14:paraId="6ADA3F6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2.任职要求</w:t>
      </w:r>
    </w:p>
    <w:p w14:paraId="46EB6BA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（1）年龄40岁以下（1985年1月1日及以后出生）。</w:t>
      </w:r>
    </w:p>
    <w:p w14:paraId="02B3462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第一学历为重点高校（国家“双一流”建设高校或国（境）外知名院校（按照最新的泰晤士世界大学排名、QS世界大学排名、U.S.News世界大学排名、软科世界大学学术排名前1000名））全日制本科及以上学历（电子信息或新材料相关专业优先），具备较强的财务及金融相关知识。</w:t>
      </w:r>
    </w:p>
    <w:p w14:paraId="3F6F003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（3）具有丰富的项目资源。</w:t>
      </w:r>
    </w:p>
    <w:p w14:paraId="16BC0A3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（4）具有5年以上电子信息、新材料行业投资经验。</w:t>
      </w:r>
    </w:p>
    <w:p w14:paraId="319148B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（5）具有3年以上私募基金管理机构从业经验。</w:t>
      </w:r>
    </w:p>
    <w:p w14:paraId="764252B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（6）最近10年内有至少2起主导未上市企业股权投资的项目经验，投资金额合计不低于3000万元，且至少应有1起项目通过首次公开发行股票并上市、股权并购或者股权转让等方式退出投资管理业绩优先。</w:t>
      </w:r>
    </w:p>
    <w:p w14:paraId="5C36F09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（7）5年内没有从事过与基金投资相冲突的业务。</w:t>
      </w:r>
    </w:p>
    <w:p w14:paraId="4F3EDE5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（8）具有在国有企业从事投资业务或运营管理政府投资基金业务的相关工作经验。</w:t>
      </w:r>
    </w:p>
    <w:p w14:paraId="208FA08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（9）具有基金从业资格证。</w:t>
      </w:r>
    </w:p>
    <w:p w14:paraId="76B243C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shd w:val="clear" w:color="auto" w:fill="FFFFFF"/>
          <w:lang w:val="en-US" w:eastAsia="zh-CN" w:bidi="ar-SA"/>
        </w:rPr>
        <w:t>（三）风控总监</w:t>
      </w:r>
    </w:p>
    <w:p w14:paraId="7821F41E">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1.岗位职责</w:t>
      </w:r>
    </w:p>
    <w:p w14:paraId="7F4E15E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主要负责业务全流程风险预警、监管；投资相关法务尽调；公司运营相关的合规管理、合同审议；外部监管合规及数据统计报送；风险项目处理等。</w:t>
      </w:r>
    </w:p>
    <w:p w14:paraId="4D1FAD2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2.任职要求</w:t>
      </w:r>
    </w:p>
    <w:p w14:paraId="2673750E">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（1）年龄40岁以下（1985年1月1日及以后出生）。</w:t>
      </w:r>
    </w:p>
    <w:p w14:paraId="1B35C2E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第一学历为重点高校（国家“双一流”建设高校或国（境）外知名院校（按照最新的泰晤士世界大学排名、QS世界大学排名、U.S.News世界大学排名、软科世界大学学术排名前1000名））全日制法学相关专业本科及以上学历。</w:t>
      </w:r>
    </w:p>
    <w:p w14:paraId="0DE3AC9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（3）具有5年以上的基金投资行业相关的合规、风控经验。</w:t>
      </w:r>
    </w:p>
    <w:p w14:paraId="4D72FF9D">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（4）具有3年以上知名私募基金管理机构的管理经验。</w:t>
      </w:r>
    </w:p>
    <w:p w14:paraId="103EA85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（5）具有法律从业资格证、基金从业资格证。</w:t>
      </w:r>
    </w:p>
    <w:p w14:paraId="7868B49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（6）熟悉基金行业、国资监管相关法律法规。</w:t>
      </w:r>
    </w:p>
    <w:p w14:paraId="695CEDC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（7）具有在国有企业从事投资业务或运营管理政府投资基金业务的相关工作经验。</w:t>
      </w:r>
    </w:p>
    <w:p w14:paraId="035C441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五、其他说明</w:t>
      </w:r>
    </w:p>
    <w:p w14:paraId="6ED7D09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default" w:ascii="楷体" w:hAnsi="楷体" w:eastAsia="楷体" w:cs="楷体"/>
          <w:b w:val="0"/>
          <w:bCs w:val="0"/>
          <w:color w:val="auto"/>
          <w:kern w:val="0"/>
          <w:sz w:val="32"/>
          <w:szCs w:val="32"/>
          <w:lang w:val="en-US" w:eastAsia="zh-CN"/>
        </w:rPr>
      </w:pPr>
      <w:r>
        <w:rPr>
          <w:rFonts w:hint="eastAsia" w:ascii="楷体" w:hAnsi="楷体" w:eastAsia="楷体" w:cs="楷体"/>
          <w:b w:val="0"/>
          <w:bCs w:val="0"/>
          <w:color w:val="auto"/>
          <w:kern w:val="0"/>
          <w:sz w:val="32"/>
          <w:szCs w:val="32"/>
          <w:lang w:eastAsia="zh-CN"/>
        </w:rPr>
        <w:t>（一）共性标准</w:t>
      </w:r>
    </w:p>
    <w:p w14:paraId="4A1A9E0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1.具有中华人民共和国国籍</w:t>
      </w:r>
      <w:r>
        <w:rPr>
          <w:rFonts w:hint="eastAsia" w:ascii="仿宋_GB2312" w:hAnsi="仿宋_GB2312" w:eastAsia="仿宋_GB2312" w:cs="仿宋_GB2312"/>
          <w:color w:val="auto"/>
          <w:kern w:val="2"/>
          <w:sz w:val="32"/>
          <w:szCs w:val="32"/>
          <w:lang w:val="en-US" w:eastAsia="zh-CN" w:bidi="ar-SA"/>
        </w:rPr>
        <w:t>。</w:t>
      </w:r>
    </w:p>
    <w:p w14:paraId="576455D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shd w:val="clear" w:color="auto" w:fill="FFFFFF"/>
          <w:lang w:val="en-US" w:eastAsia="zh-CN" w:bidi="ar-SA"/>
        </w:rPr>
        <w:t>拥护中国共产党的领导，认真贯彻党和国家的路线、方针和政策，</w:t>
      </w:r>
      <w:r>
        <w:rPr>
          <w:rFonts w:hint="default" w:ascii="仿宋_GB2312" w:hAnsi="仿宋_GB2312" w:eastAsia="仿宋_GB2312" w:cs="仿宋_GB2312"/>
          <w:color w:val="auto"/>
          <w:kern w:val="2"/>
          <w:sz w:val="32"/>
          <w:szCs w:val="32"/>
          <w:lang w:val="en-US" w:eastAsia="zh-CN" w:bidi="ar-SA"/>
        </w:rPr>
        <w:t>秉公尽责、严守法纪</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shd w:val="clear" w:color="auto" w:fill="FFFFFF"/>
          <w:lang w:val="en-US" w:eastAsia="zh-CN" w:bidi="ar-SA"/>
        </w:rPr>
        <w:t>思想政治素养好，责任心强，具有良好的道德品行和职业操守。</w:t>
      </w:r>
    </w:p>
    <w:p w14:paraId="42E270D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.具有正常履行职责的身体条件</w:t>
      </w:r>
      <w:r>
        <w:rPr>
          <w:rFonts w:hint="eastAsia" w:ascii="仿宋_GB2312" w:hAnsi="仿宋_GB2312" w:eastAsia="仿宋_GB2312" w:cs="仿宋_GB2312"/>
          <w:color w:val="auto"/>
          <w:kern w:val="2"/>
          <w:sz w:val="32"/>
          <w:szCs w:val="32"/>
          <w:lang w:val="en-US" w:eastAsia="zh-CN" w:bidi="ar-SA"/>
        </w:rPr>
        <w:t>。</w:t>
      </w:r>
    </w:p>
    <w:p w14:paraId="754C8BE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特别优秀者可适当放宽条件</w:t>
      </w:r>
      <w:r>
        <w:rPr>
          <w:rFonts w:hint="eastAsia" w:ascii="仿宋_GB2312" w:hAnsi="仿宋_GB2312" w:eastAsia="仿宋_GB2312" w:cs="仿宋_GB2312"/>
          <w:color w:val="auto"/>
          <w:sz w:val="32"/>
          <w:szCs w:val="32"/>
          <w:lang w:val="en-US" w:eastAsia="zh-CN"/>
        </w:rPr>
        <w:t>。</w:t>
      </w:r>
    </w:p>
    <w:p w14:paraId="44B6BD0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5.共产党员优先。</w:t>
      </w:r>
      <w:bookmarkStart w:id="2" w:name="_GoBack"/>
      <w:bookmarkEnd w:id="2"/>
    </w:p>
    <w:p w14:paraId="05ED413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楷体" w:hAnsi="楷体" w:eastAsia="楷体" w:cs="楷体"/>
          <w:b w:val="0"/>
          <w:bCs w:val="0"/>
          <w:color w:val="auto"/>
          <w:kern w:val="0"/>
          <w:sz w:val="32"/>
          <w:szCs w:val="32"/>
          <w:lang w:val="en-US" w:eastAsia="zh-CN"/>
        </w:rPr>
      </w:pPr>
      <w:r>
        <w:rPr>
          <w:rFonts w:hint="eastAsia" w:ascii="楷体" w:hAnsi="楷体" w:eastAsia="楷体" w:cs="楷体"/>
          <w:b w:val="0"/>
          <w:bCs w:val="0"/>
          <w:color w:val="auto"/>
          <w:kern w:val="0"/>
          <w:sz w:val="32"/>
          <w:szCs w:val="32"/>
          <w:lang w:val="en-US" w:eastAsia="zh-CN"/>
        </w:rPr>
        <w:t>（二）</w:t>
      </w:r>
      <w:r>
        <w:rPr>
          <w:rFonts w:hint="default" w:ascii="楷体" w:hAnsi="楷体" w:eastAsia="楷体" w:cs="楷体"/>
          <w:b w:val="0"/>
          <w:bCs w:val="0"/>
          <w:color w:val="auto"/>
          <w:kern w:val="0"/>
          <w:sz w:val="32"/>
          <w:szCs w:val="32"/>
          <w:lang w:val="en-US" w:eastAsia="zh-CN"/>
        </w:rPr>
        <w:t>不</w:t>
      </w:r>
      <w:r>
        <w:rPr>
          <w:rFonts w:hint="eastAsia" w:ascii="楷体" w:hAnsi="楷体" w:eastAsia="楷体" w:cs="楷体"/>
          <w:b w:val="0"/>
          <w:bCs w:val="0"/>
          <w:color w:val="auto"/>
          <w:kern w:val="0"/>
          <w:sz w:val="32"/>
          <w:szCs w:val="32"/>
          <w:lang w:val="en-US" w:eastAsia="zh-CN"/>
        </w:rPr>
        <w:t>予录用</w:t>
      </w:r>
      <w:r>
        <w:rPr>
          <w:rFonts w:hint="default" w:ascii="楷体" w:hAnsi="楷体" w:eastAsia="楷体" w:cs="楷体"/>
          <w:b w:val="0"/>
          <w:bCs w:val="0"/>
          <w:color w:val="auto"/>
          <w:kern w:val="0"/>
          <w:sz w:val="32"/>
          <w:szCs w:val="32"/>
          <w:lang w:val="en-US" w:eastAsia="zh-CN"/>
        </w:rPr>
        <w:t>情形</w:t>
      </w:r>
    </w:p>
    <w:p w14:paraId="0A5BD9A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仿宋_GB2312" w:hAnsi="仿宋_GB2312" w:eastAsia="仿宋_GB2312" w:cs="仿宋_GB2312"/>
          <w:color w:val="auto"/>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1.因犯罪受过刑事处罚的</w:t>
      </w:r>
      <w:r>
        <w:rPr>
          <w:rFonts w:hint="eastAsia" w:ascii="仿宋_GB2312" w:hAnsi="仿宋_GB2312" w:eastAsia="仿宋_GB2312" w:cs="仿宋_GB2312"/>
          <w:color w:val="auto"/>
          <w:sz w:val="32"/>
          <w:szCs w:val="32"/>
          <w:shd w:val="clear" w:color="auto" w:fill="FFFFFF"/>
          <w:lang w:val="en-US" w:eastAsia="zh-CN"/>
        </w:rPr>
        <w:t>。</w:t>
      </w:r>
    </w:p>
    <w:p w14:paraId="20441D0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仿宋_GB2312" w:hAnsi="仿宋_GB2312" w:eastAsia="仿宋_GB2312" w:cs="仿宋_GB2312"/>
          <w:color w:val="auto"/>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2.被开除中国共产党党籍的，或被开除公职的</w:t>
      </w:r>
      <w:r>
        <w:rPr>
          <w:rFonts w:hint="eastAsia" w:ascii="仿宋_GB2312" w:hAnsi="仿宋_GB2312" w:eastAsia="仿宋_GB2312" w:cs="仿宋_GB2312"/>
          <w:color w:val="auto"/>
          <w:sz w:val="32"/>
          <w:szCs w:val="32"/>
          <w:shd w:val="clear" w:color="auto" w:fill="FFFFFF"/>
          <w:lang w:val="en-US" w:eastAsia="zh-CN"/>
        </w:rPr>
        <w:t>。</w:t>
      </w:r>
    </w:p>
    <w:p w14:paraId="398BA71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仿宋_GB2312" w:hAnsi="仿宋_GB2312" w:eastAsia="仿宋_GB2312" w:cs="仿宋_GB2312"/>
          <w:color w:val="auto"/>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3.被依法列为失信联合惩戒对象的</w:t>
      </w:r>
      <w:r>
        <w:rPr>
          <w:rFonts w:hint="eastAsia" w:ascii="仿宋_GB2312" w:hAnsi="仿宋_GB2312" w:eastAsia="仿宋_GB2312" w:cs="仿宋_GB2312"/>
          <w:color w:val="auto"/>
          <w:sz w:val="32"/>
          <w:szCs w:val="32"/>
          <w:shd w:val="clear" w:color="auto" w:fill="FFFFFF"/>
          <w:lang w:val="en-US" w:eastAsia="zh-CN"/>
        </w:rPr>
        <w:t>。</w:t>
      </w:r>
    </w:p>
    <w:p w14:paraId="6A691CE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仿宋_GB2312" w:hAnsi="仿宋_GB2312" w:eastAsia="仿宋_GB2312" w:cs="仿宋_GB2312"/>
          <w:color w:val="auto"/>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4.涉嫌违纪违法正在接受有关专门机关审查尚未作出结论的；受到诫勉、组织处理或者党纪政务处分等影响期未满或者期满影响使用的</w:t>
      </w:r>
      <w:r>
        <w:rPr>
          <w:rFonts w:hint="eastAsia" w:ascii="仿宋_GB2312" w:hAnsi="仿宋_GB2312" w:eastAsia="仿宋_GB2312" w:cs="仿宋_GB2312"/>
          <w:color w:val="auto"/>
          <w:sz w:val="32"/>
          <w:szCs w:val="32"/>
          <w:shd w:val="clear" w:color="auto" w:fill="FFFFFF"/>
          <w:lang w:val="en-US" w:eastAsia="zh-CN"/>
        </w:rPr>
        <w:t>。</w:t>
      </w:r>
    </w:p>
    <w:p w14:paraId="12FB7CB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w:t>
      </w:r>
      <w:r>
        <w:rPr>
          <w:rFonts w:hint="default" w:ascii="仿宋_GB2312" w:hAnsi="仿宋_GB2312" w:eastAsia="仿宋_GB2312" w:cs="仿宋_GB2312"/>
          <w:color w:val="auto"/>
          <w:sz w:val="32"/>
          <w:szCs w:val="32"/>
          <w:shd w:val="clear" w:color="auto" w:fill="FFFFFF"/>
          <w:lang w:val="en-US" w:eastAsia="zh-CN"/>
        </w:rPr>
        <w:t>.按照国家有关规定，到定向单位工作未满服务年限或对转任有其他限制性规定的</w:t>
      </w:r>
      <w:r>
        <w:rPr>
          <w:rFonts w:hint="eastAsia" w:ascii="仿宋_GB2312" w:hAnsi="仿宋_GB2312" w:eastAsia="仿宋_GB2312" w:cs="仿宋_GB2312"/>
          <w:color w:val="auto"/>
          <w:sz w:val="32"/>
          <w:szCs w:val="32"/>
          <w:shd w:val="clear" w:color="auto" w:fill="FFFFFF"/>
          <w:lang w:val="en-US" w:eastAsia="zh-CN"/>
        </w:rPr>
        <w:t>。</w:t>
      </w:r>
    </w:p>
    <w:p w14:paraId="63BE8C4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6.</w:t>
      </w:r>
      <w:r>
        <w:rPr>
          <w:rFonts w:hint="default" w:ascii="仿宋_GB2312" w:hAnsi="仿宋_GB2312" w:eastAsia="仿宋_GB2312" w:cs="仿宋_GB2312"/>
          <w:color w:val="auto"/>
          <w:sz w:val="32"/>
          <w:szCs w:val="32"/>
          <w:shd w:val="clear" w:color="auto" w:fill="FFFFFF"/>
          <w:lang w:val="en-US" w:eastAsia="zh-CN"/>
        </w:rPr>
        <w:t>配偶已移居国（境）外，或者没有配偶但子女均已移居国（境）外的</w:t>
      </w:r>
      <w:r>
        <w:rPr>
          <w:rFonts w:hint="eastAsia" w:ascii="仿宋_GB2312" w:hAnsi="仿宋_GB2312" w:eastAsia="仿宋_GB2312" w:cs="仿宋_GB2312"/>
          <w:color w:val="auto"/>
          <w:sz w:val="32"/>
          <w:szCs w:val="32"/>
          <w:shd w:val="clear" w:color="auto" w:fill="FFFFFF"/>
          <w:lang w:val="en-US" w:eastAsia="zh-CN"/>
        </w:rPr>
        <w:t>。</w:t>
      </w:r>
    </w:p>
    <w:p w14:paraId="0BD2535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left"/>
        <w:textAlignment w:val="baseline"/>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7</w:t>
      </w:r>
      <w:r>
        <w:rPr>
          <w:rFonts w:hint="default" w:ascii="仿宋_GB2312" w:hAnsi="仿宋_GB2312" w:eastAsia="仿宋_GB2312" w:cs="仿宋_GB2312"/>
          <w:color w:val="auto"/>
          <w:sz w:val="32"/>
          <w:szCs w:val="32"/>
          <w:shd w:val="clear" w:color="auto" w:fill="FFFFFF"/>
          <w:lang w:val="en-US" w:eastAsia="zh-CN"/>
        </w:rPr>
        <w:t>.曾因个人原因，导致企业经营管理不善，发生重大责任事故，或出现严重亏损，或造成国有资产严重流失和重大经济损失的</w:t>
      </w:r>
      <w:r>
        <w:rPr>
          <w:rFonts w:hint="eastAsia" w:ascii="仿宋_GB2312" w:hAnsi="仿宋_GB2312" w:eastAsia="仿宋_GB2312" w:cs="仿宋_GB2312"/>
          <w:color w:val="auto"/>
          <w:sz w:val="32"/>
          <w:szCs w:val="32"/>
          <w:shd w:val="clear" w:color="auto" w:fill="FFFFFF"/>
          <w:lang w:val="en-US" w:eastAsia="zh-CN"/>
        </w:rPr>
        <w:t>。</w:t>
      </w:r>
    </w:p>
    <w:p w14:paraId="2E64EBF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8</w:t>
      </w:r>
      <w:r>
        <w:rPr>
          <w:rFonts w:hint="default" w:ascii="仿宋_GB2312" w:hAnsi="仿宋_GB2312" w:eastAsia="仿宋_GB2312" w:cs="仿宋_GB2312"/>
          <w:color w:val="auto"/>
          <w:sz w:val="32"/>
          <w:szCs w:val="32"/>
          <w:shd w:val="clear" w:color="auto" w:fill="FFFFFF"/>
          <w:lang w:val="en-US" w:eastAsia="zh-CN"/>
        </w:rPr>
        <w:t>.法律、法规规定的其他情形。</w:t>
      </w:r>
    </w:p>
    <w:p w14:paraId="5ABC336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eastAsia" w:ascii="楷体" w:hAnsi="楷体" w:eastAsia="楷体" w:cs="楷体"/>
          <w:b w:val="0"/>
          <w:bCs w:val="0"/>
          <w:color w:val="auto"/>
          <w:kern w:val="0"/>
          <w:sz w:val="32"/>
          <w:szCs w:val="32"/>
          <w:lang w:eastAsia="zh-CN"/>
        </w:rPr>
      </w:pPr>
      <w:r>
        <w:rPr>
          <w:rFonts w:hint="eastAsia" w:ascii="楷体" w:hAnsi="楷体" w:eastAsia="楷体" w:cs="楷体"/>
          <w:b w:val="0"/>
          <w:bCs w:val="0"/>
          <w:color w:val="auto"/>
          <w:kern w:val="0"/>
          <w:sz w:val="32"/>
          <w:szCs w:val="32"/>
          <w:lang w:eastAsia="zh-CN"/>
        </w:rPr>
        <w:t>（</w:t>
      </w:r>
      <w:r>
        <w:rPr>
          <w:rFonts w:hint="eastAsia" w:ascii="楷体" w:hAnsi="楷体" w:eastAsia="楷体" w:cs="楷体"/>
          <w:b w:val="0"/>
          <w:bCs w:val="0"/>
          <w:color w:val="auto"/>
          <w:kern w:val="0"/>
          <w:sz w:val="32"/>
          <w:szCs w:val="32"/>
          <w:lang w:val="en-US" w:eastAsia="zh-CN"/>
        </w:rPr>
        <w:t>三</w:t>
      </w:r>
      <w:r>
        <w:rPr>
          <w:rFonts w:hint="eastAsia" w:ascii="楷体" w:hAnsi="楷体" w:eastAsia="楷体" w:cs="楷体"/>
          <w:b w:val="0"/>
          <w:bCs w:val="0"/>
          <w:color w:val="auto"/>
          <w:kern w:val="0"/>
          <w:sz w:val="32"/>
          <w:szCs w:val="32"/>
          <w:lang w:eastAsia="zh-CN"/>
        </w:rPr>
        <w:t>）工作地点</w:t>
      </w:r>
    </w:p>
    <w:p w14:paraId="1A3A0F1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lang w:eastAsia="zh-CN"/>
        </w:rPr>
        <w:t>石家庄高新区</w:t>
      </w:r>
      <w:r>
        <w:rPr>
          <w:rFonts w:hint="eastAsia" w:ascii="仿宋_GB2312" w:hAnsi="仿宋_GB2312" w:eastAsia="仿宋_GB2312" w:cs="仿宋_GB2312"/>
          <w:color w:val="auto"/>
          <w:sz w:val="32"/>
          <w:szCs w:val="32"/>
          <w:shd w:val="clear" w:color="auto" w:fill="FFFFFF"/>
          <w:lang w:eastAsia="zh-CN"/>
        </w:rPr>
        <w:t>。</w:t>
      </w:r>
    </w:p>
    <w:p w14:paraId="7672F59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eastAsia" w:ascii="楷体" w:hAnsi="楷体" w:eastAsia="楷体" w:cs="楷体"/>
          <w:b w:val="0"/>
          <w:bCs w:val="0"/>
          <w:color w:val="auto"/>
          <w:kern w:val="0"/>
          <w:sz w:val="32"/>
          <w:szCs w:val="32"/>
          <w:lang w:val="en-US" w:eastAsia="zh-CN"/>
        </w:rPr>
      </w:pPr>
      <w:r>
        <w:rPr>
          <w:rFonts w:hint="eastAsia" w:ascii="楷体" w:hAnsi="楷体" w:eastAsia="楷体" w:cs="楷体"/>
          <w:b w:val="0"/>
          <w:bCs w:val="0"/>
          <w:color w:val="auto"/>
          <w:kern w:val="0"/>
          <w:sz w:val="32"/>
          <w:szCs w:val="32"/>
          <w:lang w:eastAsia="zh-CN"/>
        </w:rPr>
        <w:t>（</w:t>
      </w:r>
      <w:r>
        <w:rPr>
          <w:rFonts w:hint="eastAsia" w:ascii="楷体" w:hAnsi="楷体" w:eastAsia="楷体" w:cs="楷体"/>
          <w:b w:val="0"/>
          <w:bCs w:val="0"/>
          <w:color w:val="auto"/>
          <w:kern w:val="0"/>
          <w:sz w:val="32"/>
          <w:szCs w:val="32"/>
          <w:lang w:val="en-US" w:eastAsia="zh-CN"/>
        </w:rPr>
        <w:t>四</w:t>
      </w:r>
      <w:r>
        <w:rPr>
          <w:rFonts w:hint="eastAsia" w:ascii="楷体" w:hAnsi="楷体" w:eastAsia="楷体" w:cs="楷体"/>
          <w:b w:val="0"/>
          <w:bCs w:val="0"/>
          <w:color w:val="auto"/>
          <w:kern w:val="0"/>
          <w:sz w:val="32"/>
          <w:szCs w:val="32"/>
          <w:lang w:eastAsia="zh-CN"/>
        </w:rPr>
        <w:t>）</w:t>
      </w:r>
      <w:r>
        <w:rPr>
          <w:rFonts w:hint="eastAsia" w:ascii="楷体" w:hAnsi="楷体" w:eastAsia="楷体" w:cs="楷体"/>
          <w:b w:val="0"/>
          <w:bCs w:val="0"/>
          <w:color w:val="auto"/>
          <w:kern w:val="0"/>
          <w:sz w:val="32"/>
          <w:szCs w:val="32"/>
          <w:lang w:val="en-US" w:eastAsia="zh-CN"/>
        </w:rPr>
        <w:t>薪酬福利</w:t>
      </w:r>
      <w:r>
        <w:rPr>
          <w:rFonts w:hint="eastAsia" w:ascii="楷体" w:hAnsi="楷体" w:eastAsia="楷体" w:cs="楷体"/>
          <w:b w:val="0"/>
          <w:bCs w:val="0"/>
          <w:color w:val="auto"/>
          <w:kern w:val="0"/>
          <w:sz w:val="32"/>
          <w:szCs w:val="32"/>
          <w:lang w:eastAsia="zh-CN"/>
        </w:rPr>
        <w:t>待遇</w:t>
      </w:r>
      <w:r>
        <w:rPr>
          <w:rFonts w:hint="eastAsia" w:ascii="楷体" w:hAnsi="楷体" w:eastAsia="楷体" w:cs="楷体"/>
          <w:b w:val="0"/>
          <w:bCs w:val="0"/>
          <w:color w:val="auto"/>
          <w:kern w:val="0"/>
          <w:sz w:val="32"/>
          <w:szCs w:val="32"/>
          <w:lang w:val="en-US" w:eastAsia="zh-CN"/>
        </w:rPr>
        <w:t xml:space="preserve"> </w:t>
      </w:r>
    </w:p>
    <w:p w14:paraId="3B83FC5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提供具有市场竞争力的薪酬待遇，依据工作履历对标具体岗位，根据自身实际业务能力，结合公司薪酬制度综合拟定职级薪资。新录用人员实行试用期制度，试用期内发放试用工资。</w:t>
      </w:r>
    </w:p>
    <w:p w14:paraId="2423984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jc w:val="both"/>
        <w:textAlignment w:val="baseline"/>
        <w:rPr>
          <w:rFonts w:hint="default"/>
          <w:lang w:val="en-US" w:eastAsia="zh-CN"/>
        </w:rPr>
      </w:pPr>
      <w:r>
        <w:rPr>
          <w:rFonts w:hint="eastAsia" w:ascii="仿宋_GB2312" w:hAnsi="仿宋_GB2312" w:eastAsia="仿宋_GB2312" w:cs="仿宋_GB2312"/>
          <w:color w:val="auto"/>
          <w:sz w:val="32"/>
          <w:szCs w:val="32"/>
          <w:shd w:val="clear" w:color="auto" w:fill="FFFFFF"/>
          <w:lang w:eastAsia="zh-CN"/>
        </w:rPr>
        <w:t>员工入职缴纳五险一金，享受生日福利、节假日福利、防暑福利、劳保福利、取暖费、带薪休假等。</w:t>
      </w:r>
      <w:bookmarkEnd w:id="1"/>
    </w:p>
    <w:p w14:paraId="166DAABC"/>
    <w:p w14:paraId="65B6D85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949FE"/>
    <w:rsid w:val="0DD201F4"/>
    <w:rsid w:val="17C810E9"/>
    <w:rsid w:val="202C36E7"/>
    <w:rsid w:val="21D56297"/>
    <w:rsid w:val="28291CBC"/>
    <w:rsid w:val="2AF80C6C"/>
    <w:rsid w:val="307F3F9D"/>
    <w:rsid w:val="42383FAC"/>
    <w:rsid w:val="57974390"/>
    <w:rsid w:val="62D6719E"/>
    <w:rsid w:val="67B6134C"/>
    <w:rsid w:val="7AA0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2025-03-14T02:44:55Z</dcterms:created>
  <dc:creator>Administrator</dc:creator>
  <cp:lastModifiedBy>董三多多多</cp:lastModifiedBy>
  <dcterms:modified xsi:type="dcterms:W3CDTF">2025-03-14T05:30:17Z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eyJoZGlkIjoiNzgyZWY2YjVmYThlMTliNzJmYzRlYzA1OTM5MDNmNTQiLCJ1c2VySWQiOiIyODM1MDI2MTUifQ==</vt:lpwstr>
  </property>
  <property fmtid="{D5CDD505-2E9C-101B-9397-08002B2CF9AE}" pid="4" name="ICV">
    <vt:lpwstr>A908CB32199249AEB90E36F9B54C5688_12</vt:lpwstr>
  </property>
</Properties>
</file>